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72" w:rsidRDefault="003A6672" w:rsidP="003A6672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Утверждены требования к частным охранным организациям, привлекаемым для защиты объектов ТЭК </w:t>
      </w:r>
    </w:p>
    <w:p w:rsidR="003A6672" w:rsidRDefault="003A6672" w:rsidP="003A6672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3A6672" w:rsidRDefault="003A6672" w:rsidP="003A6672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proofErr w:type="gramStart"/>
      <w:r>
        <w:rPr>
          <w:bCs/>
          <w:color w:val="000000"/>
          <w:spacing w:val="-1"/>
          <w:sz w:val="28"/>
          <w:szCs w:val="28"/>
        </w:rPr>
        <w:t>Постановлением Правительства РФ от 08.12.2022 №2258 утверждены специальные требования к организациям, которые вправе защищать объекты ТЭК с низкой и средней категорией опасности, а также объекты, которым не присвоена категория опасности или которые не подлежат категорированию.</w:t>
      </w:r>
      <w:proofErr w:type="gramEnd"/>
    </w:p>
    <w:p w:rsidR="003A6672" w:rsidRDefault="003A6672" w:rsidP="003A6672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Для обеспечения физической защиты объекта топливно-энергетического комплекса могут привлекаться в т. ч. частные охранные организации в зависимости от категории объекта и в соответствии с паспортом безопасности объекта ТЭК.</w:t>
      </w:r>
    </w:p>
    <w:p w:rsidR="003A6672" w:rsidRDefault="003A6672" w:rsidP="003A6672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 числе таких требований наличие не менее 3-х лет опыта работы на объектах ТЭК с низкой или средней категорией опасности; размер уставного не менее 750 тыс. руб.; наличие охранников 5 и 6 разрядов в количестве, указанном в паспорте безопасности объекта ТЭК.</w:t>
      </w:r>
    </w:p>
    <w:p w:rsidR="003A6672" w:rsidRDefault="003A6672" w:rsidP="003A6672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Постановление вступает в силу с 26 декабря 2022 года.</w:t>
      </w: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72"/>
    <w:rsid w:val="00083E84"/>
    <w:rsid w:val="003A6672"/>
    <w:rsid w:val="006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2022-12-27T08:52:00Z</dcterms:created>
  <dcterms:modified xsi:type="dcterms:W3CDTF">2022-12-27T08:52:00Z</dcterms:modified>
</cp:coreProperties>
</file>