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1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868"/>
      </w:tblGrid>
      <w:tr w:rsidR="00CB4EC0" w:rsidRPr="001D005C" w:rsidTr="00961A50">
        <w:trPr>
          <w:trHeight w:val="3954"/>
        </w:trPr>
        <w:tc>
          <w:tcPr>
            <w:tcW w:w="4320" w:type="dxa"/>
            <w:tcBorders>
              <w:top w:val="nil"/>
              <w:left w:val="nil"/>
              <w:bottom w:val="nil"/>
              <w:right w:val="nil"/>
            </w:tcBorders>
          </w:tcPr>
          <w:p w:rsidR="00CB4EC0" w:rsidRPr="00BE37E9" w:rsidRDefault="00CB4EC0" w:rsidP="00961A50">
            <w:pPr>
              <w:rPr>
                <w:color w:val="000000"/>
              </w:rPr>
            </w:pPr>
          </w:p>
        </w:tc>
        <w:tc>
          <w:tcPr>
            <w:tcW w:w="5868" w:type="dxa"/>
            <w:tcBorders>
              <w:top w:val="nil"/>
              <w:left w:val="nil"/>
              <w:bottom w:val="nil"/>
              <w:right w:val="nil"/>
            </w:tcBorders>
          </w:tcPr>
          <w:p w:rsidR="00CB4EC0" w:rsidRPr="0049462E" w:rsidRDefault="00CB4EC0" w:rsidP="00961A50">
            <w:pPr>
              <w:jc w:val="both"/>
              <w:rPr>
                <w:b/>
                <w:color w:val="000000"/>
                <w:sz w:val="28"/>
                <w:szCs w:val="28"/>
              </w:rPr>
            </w:pPr>
          </w:p>
          <w:p w:rsidR="00CB4EC0" w:rsidRPr="0049462E" w:rsidRDefault="00CB4EC0" w:rsidP="00961A50">
            <w:pPr>
              <w:jc w:val="both"/>
              <w:rPr>
                <w:b/>
                <w:color w:val="000000"/>
                <w:sz w:val="28"/>
                <w:szCs w:val="28"/>
              </w:rPr>
            </w:pPr>
          </w:p>
          <w:p w:rsidR="00CB4EC0" w:rsidRDefault="00CB4EC0" w:rsidP="00961A50">
            <w:pPr>
              <w:spacing w:line="240" w:lineRule="exact"/>
              <w:ind w:left="840"/>
              <w:rPr>
                <w:bCs/>
                <w:color w:val="000000"/>
                <w:sz w:val="28"/>
                <w:szCs w:val="28"/>
              </w:rPr>
            </w:pPr>
          </w:p>
          <w:p w:rsidR="00CB4EC0" w:rsidRDefault="00CB4EC0" w:rsidP="00961A50">
            <w:pPr>
              <w:spacing w:line="240" w:lineRule="exact"/>
              <w:ind w:left="1321"/>
              <w:rPr>
                <w:sz w:val="28"/>
                <w:szCs w:val="28"/>
              </w:rPr>
            </w:pPr>
          </w:p>
          <w:p w:rsidR="00CB4EC0" w:rsidRPr="001D005C" w:rsidRDefault="00CB4EC0" w:rsidP="00961A50">
            <w:pPr>
              <w:spacing w:line="240" w:lineRule="exact"/>
              <w:rPr>
                <w:bCs/>
                <w:color w:val="000000"/>
              </w:rPr>
            </w:pPr>
          </w:p>
        </w:tc>
      </w:tr>
    </w:tbl>
    <w:p w:rsidR="00CB4EC0" w:rsidRPr="00453570" w:rsidRDefault="00CB4EC0" w:rsidP="00CB4EC0">
      <w:pPr>
        <w:shd w:val="clear" w:color="auto" w:fill="FFFFFF"/>
        <w:spacing w:line="240" w:lineRule="exact"/>
        <w:ind w:right="5687"/>
        <w:jc w:val="both"/>
        <w:rPr>
          <w:b/>
          <w:bCs/>
          <w:color w:val="000000"/>
          <w:spacing w:val="-1"/>
          <w:sz w:val="26"/>
          <w:szCs w:val="26"/>
        </w:rPr>
      </w:pPr>
    </w:p>
    <w:p w:rsidR="00CB4EC0" w:rsidRPr="00453570" w:rsidRDefault="00CB4EC0" w:rsidP="00CB4EC0">
      <w:pPr>
        <w:spacing w:line="280" w:lineRule="exact"/>
        <w:ind w:firstLine="709"/>
        <w:jc w:val="both"/>
        <w:rPr>
          <w:b/>
          <w:sz w:val="28"/>
          <w:szCs w:val="26"/>
        </w:rPr>
      </w:pPr>
      <w:r w:rsidRPr="00453570">
        <w:rPr>
          <w:b/>
          <w:sz w:val="28"/>
          <w:szCs w:val="26"/>
        </w:rPr>
        <w:t>Представление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p w:rsidR="00CB4EC0" w:rsidRDefault="00CB4EC0" w:rsidP="00CB4EC0">
      <w:pPr>
        <w:spacing w:line="280" w:lineRule="exact"/>
        <w:ind w:firstLine="709"/>
        <w:jc w:val="both"/>
        <w:rPr>
          <w:sz w:val="28"/>
          <w:szCs w:val="26"/>
        </w:rPr>
      </w:pPr>
    </w:p>
    <w:p w:rsidR="00CB4EC0" w:rsidRDefault="00CB4EC0" w:rsidP="00CB4EC0">
      <w:pPr>
        <w:spacing w:line="280" w:lineRule="exact"/>
        <w:ind w:firstLine="709"/>
        <w:jc w:val="both"/>
        <w:rPr>
          <w:sz w:val="28"/>
          <w:szCs w:val="26"/>
        </w:rPr>
      </w:pPr>
    </w:p>
    <w:p w:rsidR="00CB4EC0" w:rsidRPr="00453570" w:rsidRDefault="00CB4EC0" w:rsidP="00CB4EC0">
      <w:pPr>
        <w:spacing w:line="280" w:lineRule="exact"/>
        <w:ind w:firstLine="709"/>
        <w:jc w:val="both"/>
        <w:rPr>
          <w:sz w:val="28"/>
          <w:szCs w:val="26"/>
        </w:rPr>
      </w:pPr>
      <w:r w:rsidRPr="00453570">
        <w:rPr>
          <w:sz w:val="28"/>
          <w:szCs w:val="26"/>
        </w:rPr>
        <w:t>В 2021 году Министерством труда и социальной защиты Российской Федерации подготовлены обновленные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сведения соответственно) в 2022 году (за отчетный 2021 год).</w:t>
      </w:r>
    </w:p>
    <w:p w:rsidR="00CB4EC0" w:rsidRPr="00453570" w:rsidRDefault="00CB4EC0" w:rsidP="00CB4EC0">
      <w:pPr>
        <w:spacing w:line="280" w:lineRule="exact"/>
        <w:ind w:firstLine="709"/>
        <w:jc w:val="both"/>
        <w:rPr>
          <w:sz w:val="28"/>
          <w:szCs w:val="26"/>
        </w:rPr>
      </w:pPr>
      <w:r w:rsidRPr="00453570">
        <w:rPr>
          <w:sz w:val="28"/>
          <w:szCs w:val="26"/>
        </w:rPr>
        <w:t>При использовании указанных Методических рекомендаций необходимо обратить внимание на следующие изменения.</w:t>
      </w:r>
    </w:p>
    <w:p w:rsidR="00CB4EC0" w:rsidRPr="00453570" w:rsidRDefault="00CB4EC0" w:rsidP="00CB4EC0">
      <w:pPr>
        <w:spacing w:line="280" w:lineRule="exact"/>
        <w:ind w:firstLine="709"/>
        <w:jc w:val="both"/>
        <w:rPr>
          <w:sz w:val="28"/>
          <w:szCs w:val="26"/>
        </w:rPr>
      </w:pPr>
      <w:proofErr w:type="gramStart"/>
      <w:r w:rsidRPr="00453570">
        <w:rPr>
          <w:sz w:val="28"/>
          <w:szCs w:val="26"/>
        </w:rPr>
        <w:t>Так, в Методических рекомендациях подчеркнуто,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roofErr w:type="gramEnd"/>
    </w:p>
    <w:p w:rsidR="00CB4EC0" w:rsidRPr="00453570" w:rsidRDefault="00CB4EC0" w:rsidP="00CB4EC0">
      <w:pPr>
        <w:spacing w:line="280" w:lineRule="exact"/>
        <w:ind w:firstLine="709"/>
        <w:jc w:val="both"/>
        <w:rPr>
          <w:sz w:val="28"/>
          <w:szCs w:val="26"/>
        </w:rPr>
      </w:pPr>
      <w:r w:rsidRPr="00453570">
        <w:rPr>
          <w:sz w:val="28"/>
          <w:szCs w:val="26"/>
        </w:rPr>
        <w:t>В пункте 13 Методических рекомендаций отмечено, что перевод на государственной гражданской службе Российской Федерации предполагает увольнение и, как следствие, необходимость представления сведений в качестве кандидата.</w:t>
      </w:r>
    </w:p>
    <w:p w:rsidR="00CB4EC0" w:rsidRPr="00453570" w:rsidRDefault="00CB4EC0" w:rsidP="00CB4EC0">
      <w:pPr>
        <w:spacing w:line="280" w:lineRule="exact"/>
        <w:ind w:firstLine="709"/>
        <w:jc w:val="both"/>
        <w:rPr>
          <w:sz w:val="28"/>
          <w:szCs w:val="26"/>
        </w:rPr>
      </w:pPr>
      <w:proofErr w:type="gramStart"/>
      <w:r w:rsidRPr="00453570">
        <w:rPr>
          <w:sz w:val="28"/>
          <w:szCs w:val="26"/>
        </w:rPr>
        <w:t xml:space="preserve">Также в Методических рекомендациях отмечена целесообразность представления сведений на основании официальных документов, например,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453570">
        <w:rPr>
          <w:sz w:val="28"/>
          <w:szCs w:val="26"/>
        </w:rPr>
        <w:t>некредитными</w:t>
      </w:r>
      <w:proofErr w:type="spellEnd"/>
      <w:r w:rsidRPr="00453570">
        <w:rPr>
          <w:sz w:val="28"/>
          <w:szCs w:val="26"/>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w:t>
      </w:r>
      <w:proofErr w:type="gramEnd"/>
      <w:r w:rsidRPr="00453570">
        <w:rPr>
          <w:sz w:val="28"/>
          <w:szCs w:val="26"/>
        </w:rPr>
        <w:t xml:space="preserve"> характера, о единой форме предоставления сведений и порядке ее заполнения».</w:t>
      </w:r>
    </w:p>
    <w:p w:rsidR="00CB4EC0" w:rsidRPr="00453570" w:rsidRDefault="00CB4EC0" w:rsidP="00CB4EC0">
      <w:pPr>
        <w:spacing w:line="280" w:lineRule="exact"/>
        <w:ind w:firstLine="709"/>
        <w:jc w:val="both"/>
        <w:rPr>
          <w:sz w:val="28"/>
          <w:szCs w:val="26"/>
        </w:rPr>
      </w:pPr>
      <w:r w:rsidRPr="00453570">
        <w:rPr>
          <w:sz w:val="28"/>
          <w:szCs w:val="26"/>
        </w:rPr>
        <w:t>Актуализирован перечень выплат, которые могут быть признаны доходом для целей законодательства Российской Федерации о противодействии коррупции.</w:t>
      </w:r>
    </w:p>
    <w:p w:rsidR="00CB4EC0" w:rsidRPr="00453570" w:rsidRDefault="00CB4EC0" w:rsidP="00CB4EC0">
      <w:pPr>
        <w:spacing w:line="280" w:lineRule="exact"/>
        <w:ind w:firstLine="709"/>
        <w:jc w:val="both"/>
        <w:rPr>
          <w:sz w:val="28"/>
          <w:szCs w:val="26"/>
        </w:rPr>
      </w:pPr>
      <w:r w:rsidRPr="00453570">
        <w:rPr>
          <w:sz w:val="28"/>
          <w:szCs w:val="26"/>
        </w:rPr>
        <w:lastRenderedPageBreak/>
        <w:t>В пункте 66 Методических рекомендаций указан порядок отражения социальной поддержки молодежи в возрасте от 14 до 22 лет для повышения доступности организаций культуры (т.н. «Пушкинская карта»).</w:t>
      </w:r>
    </w:p>
    <w:p w:rsidR="00CB4EC0" w:rsidRPr="00453570" w:rsidRDefault="00CB4EC0" w:rsidP="00CB4EC0">
      <w:pPr>
        <w:spacing w:line="280" w:lineRule="exact"/>
        <w:ind w:firstLine="709"/>
        <w:jc w:val="both"/>
        <w:rPr>
          <w:sz w:val="28"/>
          <w:szCs w:val="26"/>
        </w:rPr>
      </w:pPr>
      <w:r w:rsidRPr="00453570">
        <w:rPr>
          <w:sz w:val="28"/>
          <w:szCs w:val="26"/>
        </w:rPr>
        <w:t>Так,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w:t>
      </w:r>
    </w:p>
    <w:p w:rsidR="00CB4EC0" w:rsidRPr="00453570" w:rsidRDefault="00CB4EC0" w:rsidP="00CB4EC0">
      <w:pPr>
        <w:spacing w:line="280" w:lineRule="exact"/>
        <w:ind w:firstLine="709"/>
        <w:jc w:val="both"/>
        <w:rPr>
          <w:sz w:val="28"/>
          <w:szCs w:val="26"/>
        </w:rPr>
      </w:pPr>
      <w:r w:rsidRPr="00453570">
        <w:rPr>
          <w:sz w:val="28"/>
          <w:szCs w:val="26"/>
        </w:rPr>
        <w:t xml:space="preserve">Пунктом 82 Методических рекомендаций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w:t>
      </w:r>
      <w:proofErr w:type="spellStart"/>
      <w:r w:rsidRPr="00453570">
        <w:rPr>
          <w:sz w:val="28"/>
          <w:szCs w:val="26"/>
        </w:rPr>
        <w:t>эскроу</w:t>
      </w:r>
      <w:proofErr w:type="spellEnd"/>
      <w:r w:rsidRPr="00453570">
        <w:rPr>
          <w:sz w:val="28"/>
          <w:szCs w:val="26"/>
        </w:rPr>
        <w:t>.</w:t>
      </w:r>
    </w:p>
    <w:p w:rsidR="00CB4EC0" w:rsidRPr="00453570" w:rsidRDefault="00CB4EC0" w:rsidP="00CB4EC0">
      <w:pPr>
        <w:spacing w:line="280" w:lineRule="exact"/>
        <w:ind w:firstLine="709"/>
        <w:jc w:val="both"/>
        <w:rPr>
          <w:sz w:val="28"/>
          <w:szCs w:val="26"/>
        </w:rPr>
      </w:pPr>
      <w:proofErr w:type="gramStart"/>
      <w:r w:rsidRPr="00453570">
        <w:rPr>
          <w:sz w:val="28"/>
          <w:szCs w:val="26"/>
        </w:rPr>
        <w:t xml:space="preserve">Так, 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453570">
        <w:rPr>
          <w:sz w:val="28"/>
          <w:szCs w:val="26"/>
        </w:rPr>
        <w:t>эскроу</w:t>
      </w:r>
      <w:proofErr w:type="spellEnd"/>
      <w:r w:rsidRPr="00453570">
        <w:rPr>
          <w:sz w:val="28"/>
          <w:szCs w:val="26"/>
        </w:rPr>
        <w:t xml:space="preserve">, в разделе 2 «Сведения о расходах» отражаются сведения о расходах в случае, если внесенная на счета </w:t>
      </w:r>
      <w:proofErr w:type="spellStart"/>
      <w:r w:rsidRPr="00453570">
        <w:rPr>
          <w:sz w:val="28"/>
          <w:szCs w:val="26"/>
        </w:rPr>
        <w:t>эскроу</w:t>
      </w:r>
      <w:proofErr w:type="spellEnd"/>
      <w:r w:rsidRPr="00453570">
        <w:rPr>
          <w:sz w:val="28"/>
          <w:szCs w:val="26"/>
        </w:rPr>
        <w:t xml:space="preserve"> в отчетный период сумма превышает общий доход служащего (работника) и его супруги (супруга) за три последних</w:t>
      </w:r>
      <w:proofErr w:type="gramEnd"/>
      <w:r w:rsidRPr="00453570">
        <w:rPr>
          <w:sz w:val="28"/>
          <w:szCs w:val="26"/>
        </w:rPr>
        <w:t xml:space="preserve"> года, </w:t>
      </w:r>
      <w:proofErr w:type="gramStart"/>
      <w:r w:rsidRPr="00453570">
        <w:rPr>
          <w:sz w:val="28"/>
          <w:szCs w:val="26"/>
        </w:rPr>
        <w:t>предшествующих</w:t>
      </w:r>
      <w:proofErr w:type="gramEnd"/>
      <w:r w:rsidRPr="00453570">
        <w:rPr>
          <w:sz w:val="28"/>
          <w:szCs w:val="26"/>
        </w:rPr>
        <w:t xml:space="preserve"> совершению сделки.</w:t>
      </w:r>
    </w:p>
    <w:p w:rsidR="00CB4EC0" w:rsidRPr="00453570" w:rsidRDefault="00CB4EC0" w:rsidP="00CB4EC0">
      <w:pPr>
        <w:spacing w:line="280" w:lineRule="exact"/>
        <w:ind w:firstLine="709"/>
        <w:jc w:val="both"/>
        <w:rPr>
          <w:sz w:val="28"/>
          <w:szCs w:val="26"/>
        </w:rPr>
      </w:pPr>
      <w:r w:rsidRPr="00453570">
        <w:rPr>
          <w:sz w:val="28"/>
          <w:szCs w:val="26"/>
        </w:rPr>
        <w:t>В пункте 154 Методических рекомендаций обозначено, что при заполнении подраздела 5.1 «Акции и иное участие в коммерческих организациях и фондах» 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B4EC0" w:rsidRPr="00453570" w:rsidRDefault="00CB4EC0" w:rsidP="00CB4EC0">
      <w:pPr>
        <w:spacing w:line="280" w:lineRule="exact"/>
        <w:ind w:firstLine="709"/>
        <w:jc w:val="both"/>
        <w:rPr>
          <w:sz w:val="28"/>
          <w:szCs w:val="26"/>
        </w:rPr>
      </w:pPr>
      <w:r w:rsidRPr="00453570">
        <w:rPr>
          <w:sz w:val="28"/>
          <w:szCs w:val="26"/>
        </w:rPr>
        <w:t>Кроме того, определенны особенности представления информации об акциях, приобретенных на организованных торгах.</w:t>
      </w:r>
    </w:p>
    <w:p w:rsidR="00CB4EC0" w:rsidRPr="00453570" w:rsidRDefault="00CB4EC0" w:rsidP="00CB4EC0">
      <w:pPr>
        <w:spacing w:line="280" w:lineRule="exact"/>
        <w:ind w:firstLine="709"/>
        <w:jc w:val="both"/>
        <w:rPr>
          <w:sz w:val="28"/>
          <w:szCs w:val="26"/>
        </w:rPr>
      </w:pPr>
      <w:r w:rsidRPr="00453570">
        <w:rPr>
          <w:sz w:val="28"/>
          <w:szCs w:val="26"/>
        </w:rPr>
        <w:t>Методическими рекомендациями также отмечено, что в подразделе 6.2 «Срочные обязательства финансового характера» подлежит отражению фьючерсный договор.</w:t>
      </w:r>
    </w:p>
    <w:p w:rsidR="00CB4EC0" w:rsidRPr="00453570" w:rsidRDefault="00CB4EC0" w:rsidP="00CB4EC0">
      <w:pPr>
        <w:spacing w:line="280" w:lineRule="exact"/>
        <w:ind w:firstLine="709"/>
        <w:jc w:val="both"/>
        <w:rPr>
          <w:sz w:val="28"/>
          <w:szCs w:val="26"/>
        </w:rPr>
      </w:pPr>
      <w:r w:rsidRPr="00453570">
        <w:rPr>
          <w:sz w:val="28"/>
          <w:szCs w:val="26"/>
        </w:rPr>
        <w:t>Актуализированы особенности представления информации о срочных обязательствах финансового характера, возникающих исходя из условий договора со страховщиком.</w:t>
      </w:r>
    </w:p>
    <w:p w:rsidR="00CB4EC0" w:rsidRPr="00453570" w:rsidRDefault="00CB4EC0" w:rsidP="00CB4EC0">
      <w:pPr>
        <w:spacing w:line="280" w:lineRule="exact"/>
        <w:ind w:firstLine="709"/>
        <w:jc w:val="both"/>
        <w:rPr>
          <w:sz w:val="28"/>
          <w:szCs w:val="26"/>
        </w:rPr>
      </w:pPr>
      <w:proofErr w:type="gramStart"/>
      <w:r w:rsidRPr="00453570">
        <w:rPr>
          <w:sz w:val="28"/>
          <w:szCs w:val="26"/>
        </w:rPr>
        <w:t>Так, отмечено, что в подразделе 6.2 «Срочные обязательства финансового характера» раздела 6 «Сведения об обязательствах имущественного характера» подлежат отражению только обязательства, возникающие исходя из условий договора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w:t>
      </w:r>
      <w:proofErr w:type="gramEnd"/>
      <w:r w:rsidRPr="00453570">
        <w:rPr>
          <w:sz w:val="28"/>
          <w:szCs w:val="26"/>
        </w:rPr>
        <w:t xml:space="preserve"> страховщика, по которым служащий (работник), его супруг (супруга), несовершеннолетние дети являются страхователями. Обязательства, возникающие исходя из условий договора страхования, по иным видам страхования (непоименованным в абзаце 1 подпункта 3 пункта 182 Методических рекомендаций) в подразделе 6.2«Срочные обязательства финансового характера» не отражаются.</w:t>
      </w:r>
    </w:p>
    <w:p w:rsidR="00CB4EC0" w:rsidRPr="00453570" w:rsidRDefault="00CB4EC0" w:rsidP="00CB4EC0">
      <w:pPr>
        <w:spacing w:line="280" w:lineRule="exact"/>
        <w:ind w:firstLine="709"/>
        <w:jc w:val="both"/>
        <w:rPr>
          <w:sz w:val="28"/>
          <w:szCs w:val="26"/>
        </w:rPr>
      </w:pPr>
      <w:proofErr w:type="gramStart"/>
      <w:r w:rsidRPr="00453570">
        <w:rPr>
          <w:sz w:val="28"/>
          <w:szCs w:val="26"/>
        </w:rPr>
        <w:t>Кроме того, в Методических рекомендациях учтены изменения, предусмотренные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CB4EC0" w:rsidRPr="00453570" w:rsidRDefault="00CB4EC0" w:rsidP="00CB4EC0">
      <w:pPr>
        <w:spacing w:line="280" w:lineRule="exact"/>
        <w:ind w:firstLine="709"/>
        <w:jc w:val="both"/>
        <w:rPr>
          <w:sz w:val="28"/>
          <w:szCs w:val="26"/>
        </w:rPr>
      </w:pPr>
      <w:r w:rsidRPr="00453570">
        <w:rPr>
          <w:sz w:val="28"/>
          <w:szCs w:val="26"/>
        </w:rPr>
        <w:lastRenderedPageBreak/>
        <w:t>Так, раздел 3 «Сведения об имуществе» дополнен подразделами 3.3 «Цифровые финансовые активы, цифровые права, включающие одновременно цифровые финансовые активы и иные цифровые права», 3.4 «Утилитарные цифровые права», 3.5 «Цифровая валюта».</w:t>
      </w:r>
    </w:p>
    <w:p w:rsidR="00CB4EC0" w:rsidRPr="00453570" w:rsidRDefault="00CB4EC0" w:rsidP="00CB4EC0">
      <w:pPr>
        <w:spacing w:line="280" w:lineRule="exact"/>
        <w:ind w:firstLine="709"/>
        <w:jc w:val="both"/>
        <w:rPr>
          <w:sz w:val="28"/>
          <w:szCs w:val="26"/>
        </w:rPr>
      </w:pPr>
      <w:r w:rsidRPr="00453570">
        <w:rPr>
          <w:sz w:val="28"/>
          <w:szCs w:val="26"/>
        </w:rPr>
        <w:t>При этом отмечено, что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453570">
        <w:rPr>
          <w:sz w:val="28"/>
          <w:szCs w:val="26"/>
        </w:rPr>
        <w:t>кешбэк</w:t>
      </w:r>
      <w:proofErr w:type="spellEnd"/>
      <w:r w:rsidRPr="00453570">
        <w:rPr>
          <w:sz w:val="28"/>
          <w:szCs w:val="26"/>
        </w:rPr>
        <w:t xml:space="preserve"> сервис»).</w:t>
      </w:r>
    </w:p>
    <w:p w:rsidR="00CB4EC0" w:rsidRPr="00453570" w:rsidRDefault="00CB4EC0" w:rsidP="00CB4EC0">
      <w:pPr>
        <w:spacing w:line="280" w:lineRule="exact"/>
        <w:ind w:firstLine="709"/>
        <w:jc w:val="both"/>
        <w:rPr>
          <w:sz w:val="28"/>
          <w:szCs w:val="26"/>
        </w:rPr>
      </w:pPr>
      <w:r w:rsidRPr="00453570">
        <w:rPr>
          <w:sz w:val="28"/>
          <w:szCs w:val="26"/>
        </w:rPr>
        <w:t>Кроме того, в разделе 7 подлежат указанию сведения об указанных цифровых активах, правах и валюте, отчужденных в течение отчетного периода в результате безвозмездной сделки.</w:t>
      </w:r>
    </w:p>
    <w:p w:rsidR="00CB4EC0" w:rsidRDefault="00CB4EC0" w:rsidP="00CB4EC0">
      <w:pPr>
        <w:spacing w:line="280" w:lineRule="exact"/>
        <w:ind w:firstLine="709"/>
        <w:jc w:val="both"/>
        <w:rPr>
          <w:sz w:val="32"/>
          <w:szCs w:val="28"/>
        </w:rPr>
      </w:pPr>
    </w:p>
    <w:p w:rsidR="00CB4EC0" w:rsidRPr="00453570" w:rsidRDefault="00CB4EC0" w:rsidP="00CB4EC0">
      <w:pPr>
        <w:spacing w:line="280" w:lineRule="exact"/>
        <w:ind w:firstLine="709"/>
        <w:jc w:val="both"/>
        <w:rPr>
          <w:sz w:val="32"/>
          <w:szCs w:val="28"/>
        </w:rPr>
      </w:pPr>
    </w:p>
    <w:p w:rsidR="00CB4EC0" w:rsidRDefault="00CB4EC0" w:rsidP="00CB4EC0">
      <w:pPr>
        <w:spacing w:line="240" w:lineRule="exact"/>
        <w:rPr>
          <w:sz w:val="28"/>
          <w:szCs w:val="28"/>
        </w:rPr>
      </w:pPr>
      <w:r w:rsidRPr="003F52AE">
        <w:rPr>
          <w:sz w:val="28"/>
          <w:szCs w:val="28"/>
        </w:rPr>
        <w:t xml:space="preserve">Помощник прокурора района </w:t>
      </w:r>
    </w:p>
    <w:p w:rsidR="00CB4EC0" w:rsidRPr="003F52AE" w:rsidRDefault="00CB4EC0" w:rsidP="00CB4EC0">
      <w:pPr>
        <w:spacing w:line="240" w:lineRule="exact"/>
        <w:rPr>
          <w:sz w:val="28"/>
          <w:szCs w:val="28"/>
        </w:rPr>
      </w:pPr>
    </w:p>
    <w:p w:rsidR="00CB4EC0" w:rsidRPr="00602C9F" w:rsidRDefault="00CB4EC0" w:rsidP="00CB4EC0">
      <w:pPr>
        <w:spacing w:line="240" w:lineRule="exact"/>
        <w:rPr>
          <w:sz w:val="27"/>
          <w:szCs w:val="27"/>
        </w:rPr>
      </w:pPr>
      <w:r>
        <w:rPr>
          <w:sz w:val="28"/>
          <w:szCs w:val="28"/>
        </w:rPr>
        <w:t>юрист 2</w:t>
      </w:r>
      <w:r w:rsidRPr="003F52AE">
        <w:rPr>
          <w:sz w:val="28"/>
          <w:szCs w:val="28"/>
        </w:rPr>
        <w:t xml:space="preserve"> класса                 </w:t>
      </w:r>
      <w:r>
        <w:rPr>
          <w:sz w:val="28"/>
          <w:szCs w:val="28"/>
        </w:rPr>
        <w:t xml:space="preserve">                        </w:t>
      </w:r>
      <w:r w:rsidRPr="003F52AE">
        <w:rPr>
          <w:sz w:val="28"/>
          <w:szCs w:val="28"/>
        </w:rPr>
        <w:t xml:space="preserve">     </w:t>
      </w:r>
      <w:r>
        <w:rPr>
          <w:sz w:val="28"/>
          <w:szCs w:val="28"/>
        </w:rPr>
        <w:t xml:space="preserve">        </w:t>
      </w:r>
      <w:r>
        <w:rPr>
          <w:sz w:val="28"/>
          <w:szCs w:val="28"/>
        </w:rPr>
        <w:t xml:space="preserve">           </w:t>
      </w:r>
      <w:bookmarkStart w:id="0" w:name="_GoBack"/>
      <w:bookmarkEnd w:id="0"/>
      <w:r>
        <w:rPr>
          <w:sz w:val="28"/>
          <w:szCs w:val="28"/>
        </w:rPr>
        <w:t xml:space="preserve">        А.А. Трубихина</w:t>
      </w: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CB4EC0" w:rsidRDefault="00CB4EC0" w:rsidP="00CB4EC0">
      <w:pPr>
        <w:spacing w:line="240" w:lineRule="exact"/>
        <w:rPr>
          <w:sz w:val="27"/>
          <w:szCs w:val="27"/>
        </w:rPr>
      </w:pPr>
    </w:p>
    <w:p w:rsidR="00D970BA" w:rsidRDefault="00D970BA"/>
    <w:sectPr w:rsidR="00D97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C0"/>
    <w:rsid w:val="00CB4EC0"/>
    <w:rsid w:val="00D9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2022-02-04T10:53:00Z</dcterms:created>
  <dcterms:modified xsi:type="dcterms:W3CDTF">2022-02-04T10:54:00Z</dcterms:modified>
</cp:coreProperties>
</file>