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10" w:rsidRDefault="00550E10" w:rsidP="00550E10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Новые правила реализации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никотинсодержащей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безникотиновой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продукции (прокуратура города Котовска)</w:t>
      </w:r>
    </w:p>
    <w:p w:rsidR="00550E10" w:rsidRDefault="00550E10" w:rsidP="00550E10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550E10" w:rsidRDefault="00550E10" w:rsidP="00550E10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 15 декабря 2022 года введена обязательная маркировка отдельных видов </w:t>
      </w:r>
      <w:proofErr w:type="spellStart"/>
      <w:r>
        <w:rPr>
          <w:bCs/>
          <w:color w:val="000000"/>
          <w:spacing w:val="-1"/>
          <w:sz w:val="28"/>
          <w:szCs w:val="28"/>
        </w:rPr>
        <w:t>никотиносодержащей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bCs/>
          <w:color w:val="000000"/>
          <w:spacing w:val="-1"/>
          <w:sz w:val="28"/>
          <w:szCs w:val="28"/>
        </w:rPr>
        <w:t>безникотиновой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продукции, в том числе  маркировка жидкостей для электронных систем доставки никотина, электронных сигарет.</w:t>
      </w:r>
    </w:p>
    <w:p w:rsidR="00550E10" w:rsidRDefault="00550E10" w:rsidP="00550E10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Соответствующие требования введены Постановлением Правительства РФ от 30 ноября 2022 № 2178 «О внесении изменений в некоторые акты Правительства Российской Федерации в части введения обязательной маркировки отдельных видов </w:t>
      </w:r>
      <w:proofErr w:type="spellStart"/>
      <w:r>
        <w:rPr>
          <w:bCs/>
          <w:color w:val="000000"/>
          <w:spacing w:val="-1"/>
          <w:sz w:val="28"/>
          <w:szCs w:val="28"/>
        </w:rPr>
        <w:t>никотинсодержащих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жидкостей средствами идентификации».</w:t>
      </w:r>
    </w:p>
    <w:p w:rsidR="00550E10" w:rsidRDefault="00550E10" w:rsidP="00550E10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Предусмотрена подача производителями и импортерами </w:t>
      </w:r>
      <w:proofErr w:type="spellStart"/>
      <w:r>
        <w:rPr>
          <w:bCs/>
          <w:color w:val="000000"/>
          <w:spacing w:val="-1"/>
          <w:sz w:val="28"/>
          <w:szCs w:val="28"/>
        </w:rPr>
        <w:t>никотинсодержащей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bCs/>
          <w:color w:val="000000"/>
          <w:spacing w:val="-1"/>
          <w:sz w:val="28"/>
          <w:szCs w:val="28"/>
        </w:rPr>
        <w:t>безникотиновой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продукции заявления о </w:t>
      </w:r>
      <w:proofErr w:type="gramStart"/>
      <w:r>
        <w:rPr>
          <w:bCs/>
          <w:color w:val="000000"/>
          <w:spacing w:val="-1"/>
          <w:sz w:val="28"/>
          <w:szCs w:val="28"/>
        </w:rPr>
        <w:t>регистрации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в информационную систему мониторинга начиная с 15 декабря 2022 года, для организаций оптовой торговли заявления в информационную систему мониторинга подаются с 1 марта 2023 года. При этом до 1 декабря 2023 </w:t>
      </w:r>
      <w:proofErr w:type="gramStart"/>
      <w:r>
        <w:rPr>
          <w:bCs/>
          <w:color w:val="000000"/>
          <w:spacing w:val="-1"/>
          <w:sz w:val="28"/>
          <w:szCs w:val="28"/>
        </w:rPr>
        <w:t>года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возможно маркировать остатки продукции, находившейся в обороте по состоянию на 15 декабря 2022 года, в порядке, установленном для маркировки остатков табачной продукции. Оптовый оборот немаркированной продукции допускается до 1 апреля 2023 года, а розничная продажа - до 1 декабря 2023 года.</w:t>
      </w:r>
    </w:p>
    <w:p w:rsidR="00550E10" w:rsidRDefault="00550E10" w:rsidP="00550E10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За реализацию немаркированной табачной продукции установлена административная ответственность по ч.4 ст. 15.12 КоАП РФ.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10"/>
    <w:rsid w:val="00083E84"/>
    <w:rsid w:val="00550E10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2022-12-27T08:52:00Z</dcterms:created>
  <dcterms:modified xsi:type="dcterms:W3CDTF">2022-12-27T08:52:00Z</dcterms:modified>
</cp:coreProperties>
</file>