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1B" w:rsidRPr="00B33ADF" w:rsidRDefault="00D45F1B" w:rsidP="00D45F1B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  <w:r w:rsidRPr="00B33ADF">
        <w:rPr>
          <w:b/>
          <w:color w:val="333333"/>
          <w:sz w:val="28"/>
          <w:szCs w:val="28"/>
        </w:rPr>
        <w:t>ФАС России будет рассматривать споры и разногласия в сфере обращения с твердыми коммунальными отходами</w:t>
      </w:r>
    </w:p>
    <w:p w:rsidR="00D45F1B" w:rsidRPr="00B33ADF" w:rsidRDefault="00D45F1B" w:rsidP="00D45F1B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 xml:space="preserve"> </w:t>
      </w:r>
    </w:p>
    <w:p w:rsidR="00D45F1B" w:rsidRPr="00B33ADF" w:rsidRDefault="00D45F1B" w:rsidP="00D45F1B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Постановлением Правительства Российской Федерации от 12.12.2022 № 2288 внесены изменения в Правила рассмотрения (урегулирования) споров и разногласий, связанных с установлением и (или) применением цен (тарифов)</w:t>
      </w:r>
    </w:p>
    <w:p w:rsidR="00D45F1B" w:rsidRPr="00B33ADF" w:rsidRDefault="00D45F1B" w:rsidP="00D45F1B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Речь идет о досудебных спорах по вопросам установления и (или) применения тарифов в сфере обращения с ТКО, возникающих между уполномоченными исполнительными органами субъектов Российской Федерации, организациями, осуществляющими регулируемые виды деятельности в сфере обращения с ТКО, и потребителями услуг таких организаций.</w:t>
      </w:r>
    </w:p>
    <w:p w:rsidR="00D45F1B" w:rsidRPr="00B33ADF" w:rsidRDefault="00D45F1B" w:rsidP="00D45F1B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Также предусматривается, что в случае невыполнения или ненадлежащего исполнения решения ФАС России виновные лица будут привлекаться к административной ответственности.</w:t>
      </w:r>
    </w:p>
    <w:p w:rsidR="00D45F1B" w:rsidRPr="00B33ADF" w:rsidRDefault="00D45F1B" w:rsidP="00D45F1B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Постановление вступает в силу с 06.01.2023.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1B"/>
    <w:rsid w:val="00083E84"/>
    <w:rsid w:val="006E042F"/>
    <w:rsid w:val="00D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2022-12-27T07:59:00Z</dcterms:created>
  <dcterms:modified xsi:type="dcterms:W3CDTF">2022-12-27T07:59:00Z</dcterms:modified>
</cp:coreProperties>
</file>